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both"/>
        <w:rPr>
          <w:rFonts w:ascii="Times New Roman" w:hAnsi="Times New Roman" w:eastAsia="Times New Roman" w:cs="Times New Roman"/>
          <w:b/>
          <w:color w:val="000000"/>
          <w:sz w:val="21"/>
          <w:szCs w:val="21"/>
          <w:shd w:fill="FFFFFF" w:val="clear"/>
          <w:lang w:eastAsia="ru-RU"/>
        </w:rPr>
      </w:pPr>
      <w:r>
        <w:rPr>
          <w:rFonts w:eastAsia="Times New Roman" w:cs="Times New Roman" w:ascii="Times New Roman" w:hAnsi="Times New Roman"/>
          <w:b/>
          <w:color w:val="000000"/>
          <w:sz w:val="21"/>
          <w:szCs w:val="21"/>
          <w:u w:val="single"/>
          <w:shd w:fill="FFFFFF" w:val="clear"/>
          <w:lang w:eastAsia="ru-RU"/>
        </w:rPr>
        <w:t xml:space="preserve">06 августа 2026 г. </w:t>
      </w:r>
      <w:r>
        <w:rPr>
          <w:rFonts w:eastAsia="Times New Roman" w:cs="Times New Roman" w:ascii="Times New Roman" w:hAnsi="Times New Roman"/>
          <w:b/>
          <w:color w:val="000000"/>
          <w:sz w:val="21"/>
          <w:szCs w:val="21"/>
          <w:shd w:fill="FFFFFF" w:val="clear"/>
          <w:lang w:eastAsia="ru-RU"/>
        </w:rPr>
        <w:t>Управляющая компания Промышленным парком Республики Бурятия - общество с ограниченной ответственностью «Информационно-методологический центр» объявляет о начале приема заявок для участия в конкурсном отборе резидентов Промышленного парка Республики Бурятия на право заключения договора субаренды следующего недвижимого имущества:</w:t>
      </w:r>
    </w:p>
    <w:p>
      <w:pPr>
        <w:pStyle w:val="Normal"/>
        <w:spacing w:lineRule="auto" w:line="240" w:before="0" w:after="0"/>
        <w:jc w:val="both"/>
        <w:rPr>
          <w:rFonts w:ascii="Times New Roman" w:hAnsi="Times New Roman" w:eastAsia="Times New Roman" w:cs="Times New Roman"/>
          <w:b/>
          <w:sz w:val="21"/>
          <w:szCs w:val="21"/>
          <w:lang w:eastAsia="ru-RU"/>
        </w:rPr>
      </w:pPr>
      <w:r>
        <w:rPr>
          <w:rFonts w:eastAsia="Times New Roman" w:cs="Times New Roman" w:ascii="Times New Roman" w:hAnsi="Times New Roman"/>
          <w:b/>
          <w:sz w:val="21"/>
          <w:szCs w:val="21"/>
          <w:lang w:eastAsia="ru-RU"/>
        </w:rPr>
      </w:r>
    </w:p>
    <w:p>
      <w:pPr>
        <w:pStyle w:val="NoSpacing"/>
        <w:tabs>
          <w:tab w:val="clear" w:pos="708"/>
          <w:tab w:val="left" w:pos="426" w:leader="none"/>
          <w:tab w:val="left" w:pos="851" w:leader="none"/>
        </w:tabs>
        <w:spacing w:lineRule="atLeast" w:line="240"/>
        <w:ind w:firstLine="567"/>
        <w:jc w:val="both"/>
        <w:rPr>
          <w:rFonts w:ascii="Times New Roman" w:hAnsi="Times New Roman" w:eastAsia="Times New Roman"/>
          <w:color w:val="000000"/>
          <w:sz w:val="24"/>
          <w:szCs w:val="24"/>
        </w:rPr>
      </w:pPr>
      <w:r>
        <w:rPr>
          <w:rFonts w:eastAsia="Times New Roman" w:ascii="Times New Roman" w:hAnsi="Times New Roman"/>
          <w:b/>
          <w:bCs/>
          <w:color w:val="000000"/>
          <w:sz w:val="24"/>
          <w:szCs w:val="24"/>
        </w:rPr>
        <w:t>Лот № 1</w:t>
      </w:r>
      <w:r>
        <w:rPr>
          <w:rFonts w:eastAsia="Times New Roman" w:ascii="Times New Roman" w:hAnsi="Times New Roman"/>
          <w:color w:val="000000"/>
          <w:sz w:val="24"/>
          <w:szCs w:val="24"/>
        </w:rPr>
        <w:t xml:space="preserve"> – право заключения договора субаренды следующего государственного недвижимого имущества: помещений на 1 этаже </w:t>
      </w:r>
      <w:r>
        <w:rPr>
          <w:rFonts w:ascii="Times New Roman" w:hAnsi="Times New Roman"/>
          <w:bCs/>
          <w:sz w:val="24"/>
          <w:szCs w:val="24"/>
        </w:rPr>
        <w:t xml:space="preserve">помещения № 18-21, на 2 этаже № 22-23, на антресоли № 24-28, 33-35 общей площадью 2066,9 кв.м. </w:t>
      </w:r>
      <w:r>
        <w:rPr>
          <w:rFonts w:eastAsia="Times New Roman" w:ascii="Times New Roman" w:hAnsi="Times New Roman"/>
          <w:color w:val="000000"/>
          <w:sz w:val="24"/>
          <w:szCs w:val="24"/>
        </w:rPr>
        <w:t xml:space="preserve">в здании цеха, нежилое здание, этажность: 2, общая площадь цеха – 3265,1 кв. м, кадастровый № 03:24:023901:393, адрес (местоположение): Республика Бурятия, г. Улан-Удэ, ул. Ботаническая, д. 71в. Год постройки – 1980 г. Расположен на территории земельного участка с кадастровым № 03:24:023901:39. </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 здании цеха имеется точка подключения к централизованному отоплению, точка подключения к электроснабжению, 2 входа в помещения, высота здания от 2,94 м. до 16,98 м.</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Здание цеха частично кирпичное и панельное, фундамент: монолитные ж/б, столбчатые, наружная отделка – фасадный профлист, крыша жёсткая, 2-х скатная, наружные и внутренние капитальные стены: сборные ж/б плиты, кирпичные, перегородки кирпичные, перекрытия: сборные ж/б плиты перекрытия, полы: бетонно-цементная стяжка. </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Spacing"/>
        <w:tabs>
          <w:tab w:val="clear" w:pos="708"/>
          <w:tab w:val="left" w:pos="426" w:leader="none"/>
          <w:tab w:val="left" w:pos="851" w:leader="none"/>
        </w:tabs>
        <w:spacing w:lineRule="atLeast" w:line="240"/>
        <w:ind w:firstLine="567"/>
        <w:jc w:val="both"/>
        <w:rPr>
          <w:rFonts w:ascii="Times New Roman" w:hAnsi="Times New Roman" w:eastAsia="Times New Roman"/>
          <w:color w:val="000000"/>
          <w:sz w:val="24"/>
          <w:szCs w:val="24"/>
        </w:rPr>
      </w:pPr>
      <w:r>
        <w:rPr>
          <w:rFonts w:eastAsia="Times New Roman" w:ascii="Times New Roman" w:hAnsi="Times New Roman"/>
          <w:b/>
          <w:bCs/>
          <w:color w:val="000000"/>
          <w:sz w:val="24"/>
          <w:szCs w:val="24"/>
          <w:lang w:eastAsia="ru-RU"/>
        </w:rPr>
        <w:t>Лот № 2</w:t>
      </w:r>
      <w:r>
        <w:rPr>
          <w:rFonts w:eastAsia="Times New Roman" w:ascii="Times New Roman" w:hAnsi="Times New Roman"/>
          <w:color w:val="000000"/>
          <w:sz w:val="24"/>
          <w:szCs w:val="24"/>
          <w:lang w:eastAsia="ru-RU"/>
        </w:rPr>
        <w:t xml:space="preserve"> - </w:t>
      </w:r>
      <w:r>
        <w:rPr>
          <w:rFonts w:eastAsia="Times New Roman" w:ascii="Times New Roman" w:hAnsi="Times New Roman"/>
          <w:color w:val="000000"/>
          <w:sz w:val="24"/>
          <w:szCs w:val="24"/>
        </w:rPr>
        <w:t>право заключения договора субаренды следующего государственного недвижимого имущества помещений на 1 этаже № 1-7, 11-24 общей площадью 231,7 кв.м. в здании бытового корпуса, нежилое здание, этажность: 2, общая площадь – 534,1 кв.м., кадастровый № 03:24:023901:399.</w:t>
      </w:r>
    </w:p>
    <w:p>
      <w:pPr>
        <w:pStyle w:val="NoSpacing"/>
        <w:tabs>
          <w:tab w:val="clear" w:pos="708"/>
          <w:tab w:val="left" w:pos="426" w:leader="none"/>
          <w:tab w:val="left" w:pos="851" w:leader="none"/>
        </w:tabs>
        <w:spacing w:lineRule="atLeast" w:line="240"/>
        <w:ind w:firstLine="567"/>
        <w:jc w:val="both"/>
        <w:rPr>
          <w:rFonts w:ascii="Times New Roman" w:hAnsi="Times New Roman" w:eastAsia="Times New Roman"/>
          <w:color w:val="000000"/>
          <w:sz w:val="24"/>
          <w:szCs w:val="24"/>
        </w:rPr>
      </w:pPr>
      <w:r>
        <w:rPr>
          <w:rFonts w:eastAsia="Times New Roman" w:ascii="Times New Roman" w:hAnsi="Times New Roman"/>
          <w:color w:val="000000"/>
          <w:sz w:val="24"/>
          <w:szCs w:val="24"/>
        </w:rPr>
        <w:t>Адрес (местоположение): Республика Бурятия, г. Улан-Удэ, ул. Ботаническая, д. 71в.</w:t>
      </w:r>
    </w:p>
    <w:p>
      <w:pPr>
        <w:pStyle w:val="NoSpacing"/>
        <w:tabs>
          <w:tab w:val="clear" w:pos="708"/>
          <w:tab w:val="left" w:pos="426" w:leader="none"/>
          <w:tab w:val="left" w:pos="851" w:leader="none"/>
        </w:tabs>
        <w:spacing w:lineRule="atLeast" w:line="240"/>
        <w:ind w:firstLine="567"/>
        <w:jc w:val="both"/>
        <w:rPr>
          <w:rFonts w:ascii="Times New Roman" w:hAnsi="Times New Roman" w:eastAsia="Times New Roman"/>
          <w:color w:val="000000"/>
          <w:sz w:val="24"/>
          <w:szCs w:val="24"/>
        </w:rPr>
      </w:pPr>
      <w:r>
        <w:rPr>
          <w:rFonts w:eastAsia="Times New Roman" w:ascii="Times New Roman" w:hAnsi="Times New Roman"/>
          <w:color w:val="000000"/>
          <w:sz w:val="24"/>
          <w:szCs w:val="24"/>
          <w:lang w:eastAsia="ru-RU"/>
        </w:rPr>
        <w:t xml:space="preserve">Здание бытового корпуса 1980 года постройки. </w:t>
      </w:r>
      <w:r>
        <w:rPr>
          <w:rFonts w:eastAsia="Times New Roman" w:ascii="Times New Roman" w:hAnsi="Times New Roman"/>
          <w:color w:val="000000"/>
          <w:sz w:val="24"/>
          <w:szCs w:val="24"/>
        </w:rPr>
        <w:t xml:space="preserve">Расположен на территории земельного участка с кадастровым № 03:24:023901:39. </w:t>
      </w:r>
    </w:p>
    <w:p>
      <w:pPr>
        <w:pStyle w:val="NoSpacing"/>
        <w:tabs>
          <w:tab w:val="clear" w:pos="708"/>
          <w:tab w:val="left" w:pos="426" w:leader="none"/>
          <w:tab w:val="left" w:pos="851" w:leader="none"/>
        </w:tabs>
        <w:spacing w:lineRule="atLeast" w:line="240"/>
        <w:ind w:firstLine="567"/>
        <w:jc w:val="both"/>
        <w:rPr>
          <w:rFonts w:ascii="Times New Roman" w:hAnsi="Times New Roman" w:eastAsia="Times New Roman"/>
          <w:color w:val="000000"/>
          <w:sz w:val="24"/>
          <w:szCs w:val="24"/>
          <w:lang w:eastAsia="ru-RU"/>
        </w:rPr>
      </w:pPr>
      <w:r>
        <w:rPr>
          <w:rFonts w:eastAsia="Times New Roman" w:ascii="Times New Roman" w:hAnsi="Times New Roman"/>
          <w:color w:val="000000"/>
          <w:sz w:val="24"/>
          <w:szCs w:val="24"/>
          <w:lang w:eastAsia="ru-RU"/>
        </w:rPr>
        <w:t>В здании имеется отопление централизованное, точка подключения электроснабжения, вход в каждое помещение, высота помещений 2,75 м.</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Здание </w:t>
      </w:r>
      <w:r>
        <w:rPr>
          <w:rFonts w:eastAsia="Times New Roman" w:cs="Times New Roman" w:ascii="Times New Roman" w:hAnsi="Times New Roman"/>
          <w:color w:val="000000"/>
          <w:sz w:val="24"/>
          <w:szCs w:val="24"/>
        </w:rPr>
        <w:t>бытового корпуса</w:t>
      </w:r>
      <w:r>
        <w:rPr>
          <w:rFonts w:eastAsia="Times New Roman" w:cs="Times New Roman" w:ascii="Times New Roman" w:hAnsi="Times New Roman"/>
          <w:color w:val="000000"/>
          <w:sz w:val="24"/>
          <w:szCs w:val="24"/>
          <w:lang w:eastAsia="ru-RU"/>
        </w:rPr>
        <w:t xml:space="preserve"> фундамент - бетонные блоки, наружные и внутренние стены – кирпичные, перегородки - кирпичные, оштукатуренные, чердачные и междуэтажные перекрытия – железобетонные, крыша - металлическая, полы - керамическая плитка, линолеум, оконные проемы – пластиковые, дверные проемы - филёнчатые, внутренняя отделка отсутствует, наружная отделка – металлосайдинг.      </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Срок заключения договора субаренды нежилых помещений – по 08 сентября 2032 г.</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Нежилые помещения в здании, права на которые передаются по договору субаренды предназначены для ведения промышленного производства промышленной продукции.</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Территория Промышленного парка огорожена, имеется въезд на территорию, подъездные пути – асфальт, на территории имеется открытая автомобильная стоянка для легкового транспорта.</w:t>
      </w:r>
    </w:p>
    <w:p>
      <w:pPr>
        <w:pStyle w:val="Normal"/>
        <w:spacing w:lineRule="auto" w:line="240" w:before="0" w:after="0"/>
        <w:ind w:firstLine="567"/>
        <w:jc w:val="both"/>
        <w:rPr>
          <w:rFonts w:ascii="Times New Roman" w:hAnsi="Times New Roman" w:cs="Times New Roman"/>
          <w:sz w:val="24"/>
          <w:szCs w:val="24"/>
        </w:rPr>
      </w:pPr>
      <w:r>
        <w:rPr>
          <w:rFonts w:eastAsia="Times New Roman" w:cs="Times New Roman" w:ascii="Times New Roman" w:hAnsi="Times New Roman"/>
          <w:color w:val="000000"/>
          <w:sz w:val="24"/>
          <w:szCs w:val="24"/>
          <w:lang w:eastAsia="ru-RU"/>
        </w:rPr>
        <w:t xml:space="preserve">Действующие производств на территории Промышленного парка Республики Бурятия: </w:t>
      </w:r>
      <w:r>
        <w:rPr>
          <w:rFonts w:cs="Times New Roman" w:ascii="Times New Roman" w:hAnsi="Times New Roman"/>
          <w:sz w:val="24"/>
          <w:szCs w:val="24"/>
        </w:rPr>
        <w:t>производство обтирочной ветоши, РВ-волокна, переработка одежды</w:t>
      </w:r>
      <w:r>
        <w:rPr>
          <w:rFonts w:eastAsia="Times New Roman" w:cs="Times New Roman" w:ascii="Times New Roman" w:hAnsi="Times New Roman"/>
          <w:color w:val="000000"/>
          <w:sz w:val="24"/>
          <w:szCs w:val="24"/>
          <w:lang w:eastAsia="ru-RU"/>
        </w:rPr>
        <w:t xml:space="preserve">, </w:t>
      </w:r>
      <w:r>
        <w:rPr>
          <w:rFonts w:cs="Times New Roman" w:ascii="Times New Roman" w:hAnsi="Times New Roman"/>
          <w:sz w:val="24"/>
          <w:szCs w:val="24"/>
        </w:rPr>
        <w:t>производство полимерной продукции с использованием полимерных отходов (бытового мусора) и первичного полимерного сырья, производство глубинных насосов на солнечной системе, производство электромагнитных котлов, производство светопрозрачных конструкций из алюминия, эко-производство гибких строительных материалов на минеральной основе и перерабатываемых компонентов, производство войлока из текстильных отходов и производство кардочесального оборудования, производство пуль для высокоточного спортивного и охотничьего нарезного оружия в Республике Бурятия.</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cs="Times New Roman" w:ascii="Times New Roman" w:hAnsi="Times New Roman"/>
          <w:sz w:val="24"/>
          <w:szCs w:val="24"/>
        </w:rPr>
        <w:t xml:space="preserve"> </w:t>
      </w:r>
      <w:r>
        <w:rPr>
          <w:rFonts w:eastAsia="Times New Roman" w:cs="Times New Roman" w:ascii="Times New Roman" w:hAnsi="Times New Roman"/>
          <w:color w:val="000000"/>
          <w:sz w:val="24"/>
          <w:szCs w:val="24"/>
          <w:lang w:eastAsia="ru-RU"/>
        </w:rPr>
        <w:t>Объекты, территории которых примыкают к территории Промышленного парка Республики Бурятия: оптово-розничная база «УралСибМет», ООО «Таежный источник».</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Цена за единицу площади нежилых помещений, права на которые передаются по договору субаренды в размере ежемесячного платежа составляет:</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bl>
      <w:tblPr>
        <w:tblW w:w="10098" w:type="dxa"/>
        <w:jc w:val="start"/>
        <w:tblInd w:w="108" w:type="dxa"/>
        <w:tblLayout w:type="fixed"/>
        <w:tblCellMar>
          <w:top w:w="0" w:type="dxa"/>
          <w:start w:w="108" w:type="dxa"/>
          <w:bottom w:w="0" w:type="dxa"/>
          <w:end w:w="108" w:type="dxa"/>
        </w:tblCellMar>
        <w:tblLook w:val="04a0" w:firstRow="1" w:noVBand="1" w:lastRow="0" w:firstColumn="1" w:lastColumn="0" w:noHBand="0"/>
      </w:tblPr>
      <w:tblGrid>
        <w:gridCol w:w="2863"/>
        <w:gridCol w:w="1702"/>
        <w:gridCol w:w="1983"/>
        <w:gridCol w:w="1985"/>
        <w:gridCol w:w="1565"/>
      </w:tblGrid>
      <w:tr>
        <w:trPr>
          <w:trHeight w:val="20" w:hRule="atLeast"/>
        </w:trPr>
        <w:tc>
          <w:tcPr>
            <w:tcW w:w="2863"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w:t>
            </w:r>
            <w:r>
              <w:rPr>
                <w:rFonts w:eastAsia="Times New Roman" w:cs="Times New Roman" w:ascii="Times New Roman" w:hAnsi="Times New Roman"/>
                <w:color w:val="000000"/>
                <w:sz w:val="24"/>
                <w:szCs w:val="24"/>
                <w:lang w:eastAsia="ru-RU"/>
              </w:rPr>
              <w:t>Период</w:t>
            </w:r>
          </w:p>
        </w:tc>
        <w:tc>
          <w:tcPr>
            <w:tcW w:w="368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Производственные помещения за 1 кв.м., руб.</w:t>
            </w:r>
          </w:p>
        </w:tc>
        <w:tc>
          <w:tcPr>
            <w:tcW w:w="355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Офисные помещения за 1 кв.м., руб.</w:t>
            </w:r>
          </w:p>
        </w:tc>
      </w:tr>
      <w:tr>
        <w:trPr>
          <w:trHeight w:val="20" w:hRule="atLeast"/>
        </w:trPr>
        <w:tc>
          <w:tcPr>
            <w:tcW w:w="2863" w:type="dxa"/>
            <w:vMerge w:val="continue"/>
            <w:tcBorders>
              <w:top w:val="single" w:sz="4" w:space="0" w:color="000000"/>
              <w:start w:val="single" w:sz="4" w:space="0" w:color="000000"/>
              <w:bottom w:val="single" w:sz="4" w:space="0" w:color="000000"/>
              <w:end w:val="single" w:sz="4" w:space="0" w:color="000000"/>
            </w:tcBorders>
            <w:tcMar>
              <w:start w:w="5" w:type="dxa"/>
              <w:end w:w="5" w:type="dxa"/>
            </w:tcMar>
            <w:vAlign w:val="center"/>
          </w:tcPr>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17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 месяц</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 год</w:t>
            </w:r>
          </w:p>
        </w:tc>
        <w:tc>
          <w:tcPr>
            <w:tcW w:w="19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 месяц</w:t>
            </w:r>
          </w:p>
        </w:tc>
        <w:tc>
          <w:tcPr>
            <w:tcW w:w="15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в год</w:t>
            </w:r>
          </w:p>
        </w:tc>
      </w:tr>
      <w:tr>
        <w:trPr>
          <w:trHeight w:val="20" w:hRule="atLeast"/>
        </w:trPr>
        <w:tc>
          <w:tcPr>
            <w:tcW w:w="28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3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 год</w:t>
            </w:r>
          </w:p>
        </w:tc>
        <w:tc>
          <w:tcPr>
            <w:tcW w:w="17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60,0</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720,0</w:t>
            </w:r>
          </w:p>
        </w:tc>
        <w:tc>
          <w:tcPr>
            <w:tcW w:w="19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100,0</w:t>
            </w:r>
          </w:p>
        </w:tc>
        <w:tc>
          <w:tcPr>
            <w:tcW w:w="15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1 200,0</w:t>
            </w:r>
          </w:p>
        </w:tc>
      </w:tr>
      <w:tr>
        <w:trPr>
          <w:trHeight w:val="20" w:hRule="atLeast"/>
        </w:trPr>
        <w:tc>
          <w:tcPr>
            <w:tcW w:w="28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3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 год</w:t>
            </w:r>
          </w:p>
        </w:tc>
        <w:tc>
          <w:tcPr>
            <w:tcW w:w="17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70,0</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840,0</w:t>
            </w:r>
          </w:p>
        </w:tc>
        <w:tc>
          <w:tcPr>
            <w:tcW w:w="19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150,0</w:t>
            </w:r>
          </w:p>
        </w:tc>
        <w:tc>
          <w:tcPr>
            <w:tcW w:w="15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1 800,0</w:t>
            </w:r>
          </w:p>
        </w:tc>
      </w:tr>
      <w:tr>
        <w:trPr>
          <w:trHeight w:val="20" w:hRule="atLeast"/>
        </w:trPr>
        <w:tc>
          <w:tcPr>
            <w:tcW w:w="28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3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3 год </w:t>
            </w:r>
          </w:p>
        </w:tc>
        <w:tc>
          <w:tcPr>
            <w:tcW w:w="17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80,0</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960,0</w:t>
            </w:r>
          </w:p>
        </w:tc>
        <w:tc>
          <w:tcPr>
            <w:tcW w:w="19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250,0</w:t>
            </w:r>
          </w:p>
        </w:tc>
        <w:tc>
          <w:tcPr>
            <w:tcW w:w="15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3 000,0</w:t>
            </w:r>
          </w:p>
        </w:tc>
      </w:tr>
      <w:tr>
        <w:trPr>
          <w:trHeight w:val="20" w:hRule="atLeast"/>
        </w:trPr>
        <w:tc>
          <w:tcPr>
            <w:tcW w:w="28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3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4 год</w:t>
            </w:r>
          </w:p>
        </w:tc>
        <w:tc>
          <w:tcPr>
            <w:tcW w:w="17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80,0</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960,0</w:t>
            </w:r>
          </w:p>
        </w:tc>
        <w:tc>
          <w:tcPr>
            <w:tcW w:w="19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250,0</w:t>
            </w:r>
          </w:p>
        </w:tc>
        <w:tc>
          <w:tcPr>
            <w:tcW w:w="15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3 000,0</w:t>
            </w:r>
          </w:p>
        </w:tc>
      </w:tr>
      <w:tr>
        <w:trPr>
          <w:trHeight w:val="20" w:hRule="atLeast"/>
        </w:trPr>
        <w:tc>
          <w:tcPr>
            <w:tcW w:w="28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3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5 год </w:t>
            </w:r>
          </w:p>
        </w:tc>
        <w:tc>
          <w:tcPr>
            <w:tcW w:w="17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80,0</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960,0</w:t>
            </w:r>
          </w:p>
        </w:tc>
        <w:tc>
          <w:tcPr>
            <w:tcW w:w="19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250,0</w:t>
            </w:r>
          </w:p>
        </w:tc>
        <w:tc>
          <w:tcPr>
            <w:tcW w:w="15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3 000,0</w:t>
            </w:r>
          </w:p>
        </w:tc>
      </w:tr>
      <w:tr>
        <w:trPr>
          <w:trHeight w:val="20" w:hRule="atLeast"/>
        </w:trPr>
        <w:tc>
          <w:tcPr>
            <w:tcW w:w="28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3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6 год</w:t>
            </w:r>
          </w:p>
        </w:tc>
        <w:tc>
          <w:tcPr>
            <w:tcW w:w="17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80,0</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960,0</w:t>
            </w:r>
          </w:p>
        </w:tc>
        <w:tc>
          <w:tcPr>
            <w:tcW w:w="19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250,0</w:t>
            </w:r>
          </w:p>
        </w:tc>
        <w:tc>
          <w:tcPr>
            <w:tcW w:w="15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3 000,0</w:t>
            </w:r>
          </w:p>
        </w:tc>
      </w:tr>
      <w:tr>
        <w:trPr>
          <w:trHeight w:val="20" w:hRule="atLeast"/>
        </w:trPr>
        <w:tc>
          <w:tcPr>
            <w:tcW w:w="28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3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7 год </w:t>
            </w:r>
          </w:p>
        </w:tc>
        <w:tc>
          <w:tcPr>
            <w:tcW w:w="17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80,0</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960,0</w:t>
            </w:r>
          </w:p>
        </w:tc>
        <w:tc>
          <w:tcPr>
            <w:tcW w:w="19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250,0</w:t>
            </w:r>
          </w:p>
        </w:tc>
        <w:tc>
          <w:tcPr>
            <w:tcW w:w="15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3 000,0</w:t>
            </w:r>
          </w:p>
        </w:tc>
      </w:tr>
      <w:tr>
        <w:trPr>
          <w:trHeight w:val="20" w:hRule="atLeast"/>
        </w:trPr>
        <w:tc>
          <w:tcPr>
            <w:tcW w:w="28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3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8 год</w:t>
            </w:r>
          </w:p>
        </w:tc>
        <w:tc>
          <w:tcPr>
            <w:tcW w:w="17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80,0</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960,0</w:t>
            </w:r>
          </w:p>
        </w:tc>
        <w:tc>
          <w:tcPr>
            <w:tcW w:w="19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250,0</w:t>
            </w:r>
          </w:p>
        </w:tc>
        <w:tc>
          <w:tcPr>
            <w:tcW w:w="15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3 000,0</w:t>
            </w:r>
          </w:p>
        </w:tc>
      </w:tr>
      <w:tr>
        <w:trPr>
          <w:trHeight w:val="20" w:hRule="atLeast"/>
        </w:trPr>
        <w:tc>
          <w:tcPr>
            <w:tcW w:w="28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3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9 год </w:t>
            </w:r>
          </w:p>
        </w:tc>
        <w:tc>
          <w:tcPr>
            <w:tcW w:w="17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80,0</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960,0</w:t>
            </w:r>
          </w:p>
        </w:tc>
        <w:tc>
          <w:tcPr>
            <w:tcW w:w="19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250,0</w:t>
            </w:r>
          </w:p>
        </w:tc>
        <w:tc>
          <w:tcPr>
            <w:tcW w:w="15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3 000,0</w:t>
            </w:r>
          </w:p>
        </w:tc>
      </w:tr>
      <w:tr>
        <w:trPr>
          <w:trHeight w:val="20" w:hRule="atLeast"/>
        </w:trPr>
        <w:tc>
          <w:tcPr>
            <w:tcW w:w="28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firstLine="3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10 год</w:t>
            </w:r>
          </w:p>
        </w:tc>
        <w:tc>
          <w:tcPr>
            <w:tcW w:w="17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80,0</w:t>
            </w:r>
          </w:p>
        </w:tc>
        <w:tc>
          <w:tcPr>
            <w:tcW w:w="198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960,0</w:t>
            </w:r>
          </w:p>
        </w:tc>
        <w:tc>
          <w:tcPr>
            <w:tcW w:w="198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250,0</w:t>
            </w:r>
          </w:p>
        </w:tc>
        <w:tc>
          <w:tcPr>
            <w:tcW w:w="15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3 000,0</w:t>
            </w:r>
          </w:p>
        </w:tc>
      </w:tr>
    </w:tbl>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Размер арендной платы может быть изменен в случае принятия правового акта Правительством Республики Бурятия, предусматривающего изменение арендной платы имущества Промышленного парка.</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Конкурс проводится среди юридических и физических лиц независимо от организационно-правовой формы, формы собственности, зарегистрированных и осуществляющих свою деятельность на территории Республики Бурятия и отвечающих следующим требованиям:</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осуществлять промышленное производство промышленной продукции на территории Республики Бурятия;</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основной вид деятельности на момент подачи заявки на участие в конкурсе относится к промышленному производству промышленной продукции;</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относиться к категории субъекта малого и среднего предпринимательства в соответствии со статьей 4 Федерального закона от 24.07.2007 № 209-ФЗ «О развитии малого и среднего предпринимательства в Российской Федерации»;</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находиться в реестре субъектов малого и среднего предпринимательства на сайте налоговых органов Российской Федерации;</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не находиться в стадии реорганизации, ликвидации или банкротства;</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не иметь просроченной задолженности по уплате налогов, сборов и иных обязательных платежей в бюджеты всех уровней, а также во внебюджетные фонды;</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представить на конкурс бизнес-план, подтверждающий целесообразность размещения субъекта малого и среднего предпринимательства в Промышленном парке Республики Бурятия.</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Заявка на участие в конкурсе подается в письменной форме в запечатанном конверте. При этом на конверте указывается наименование конкурса и номер лота, на участие в котором подается данная заявка. Заявка на участие в конкурсе должна содержать опись документов, предоставляемых заявителем для участия в конкурсе и документы о заявителе, подавшем такую заявку, в том числе:  </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 Заявление на участие в конкурсном отборе, оформленное согласно приложению № 1 к Положению о порядке проведения конкурсного отбора резидентов Промышленного парка Республики Бурятия.</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 Анкета Участника конкурсного отбора по форме согласно приложению № 2 к Положению о порядке проведения конкурсного отбора резидентов Промышленного парка Республики Бурятия.</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3. Заверенные подписью и печатью Участника конкурса копии учредительных документов со всеми последующими изменениями (в последней редакции). </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4. Заверенные подписью и печатью Участника конкурса копии документов о назначении руководителя Участника конкурса.</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5. Заверенную подписью и печатью Участника конкурса копию паспорта или иного документа, удостоверяющего личность руководителя Участника конкурса.</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6. Справку об отсутствии просроченной задолженности по налоговым платежам в бюджеты всех уровней бюджетной системы Российской Федерации, выданную налоговым органом не ранее даты объявления конкурсного отбора, или полученную по каналам системы межведомственного электронного взаимодействия (СМЭВ) органом федеральной или региональной исполнительной власти.</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7. Бизнес-план проекта на 10-летний период, включающий в себя:</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общая информация о проекте;</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сроки и стоимость реализации проекта;</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срок окупаемости проекта (срок со дня начала финансирования проекта до срока, когда разность между накопленной суммой чистой прибыли и инвестиционными затратами приобретает положительное значение);</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объем производства продукции (выполнения работ, оказания услуг), выручка от реализации продукции за период реализации проекта по годам;</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объем налоговых поступлений в бюджет и внебюджетные фонды за период реализации проекта по годам;</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чистая прибыль по проекту по годам;</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количество сохраненных и вновь создаваемых рабочих мест в Республике Бурятия;</w:t>
        <w:br/>
        <w:t>- размер средней заработной платы работников; </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мероприятия по расчёту (предварительной) санитарно-защитной зоны Промышленного производства, с учетом действующего производства резидентов Промышленного парка на территории парка, жилой застройки, социальных и других объектов, территории которых примыкают к территории Промышленного парка Республики Бурятия;</w:t>
      </w:r>
    </w:p>
    <w:p>
      <w:pPr>
        <w:pStyle w:val="Normal"/>
        <w:tabs>
          <w:tab w:val="clear" w:pos="708"/>
          <w:tab w:val="left" w:pos="851" w:leader="none"/>
          <w:tab w:val="left" w:pos="1276" w:leader="none"/>
        </w:tabs>
        <w:spacing w:lineRule="auto" w:line="240" w:before="0" w:after="0"/>
        <w:ind w:firstLine="539" w:end="34"/>
        <w:jc w:val="both"/>
        <w:rPr>
          <w:rFonts w:ascii="Times New Roman" w:hAnsi="Times New Roman" w:cs="Times New Roman"/>
          <w:sz w:val="24"/>
          <w:szCs w:val="24"/>
        </w:rPr>
      </w:pPr>
      <w:r>
        <w:rPr>
          <w:rFonts w:eastAsia="Times New Roman" w:cs="Times New Roman" w:ascii="Times New Roman" w:hAnsi="Times New Roman"/>
          <w:color w:val="000000"/>
          <w:sz w:val="24"/>
          <w:szCs w:val="24"/>
          <w:lang w:eastAsia="ru-RU"/>
        </w:rPr>
        <w:t xml:space="preserve">- </w:t>
      </w:r>
      <w:r>
        <w:rPr>
          <w:rFonts w:cs="Times New Roman" w:ascii="Times New Roman" w:hAnsi="Times New Roman"/>
          <w:sz w:val="24"/>
          <w:szCs w:val="24"/>
        </w:rPr>
        <w:t xml:space="preserve"> информацию об использовании вторичного сырья для производства промышленной продукции.</w:t>
      </w:r>
    </w:p>
    <w:p>
      <w:pPr>
        <w:pStyle w:val="Normal"/>
        <w:tabs>
          <w:tab w:val="clear" w:pos="708"/>
          <w:tab w:val="left" w:pos="851" w:leader="none"/>
          <w:tab w:val="left" w:pos="1276" w:leader="none"/>
        </w:tabs>
        <w:spacing w:lineRule="auto" w:line="240" w:before="0" w:after="0"/>
        <w:ind w:firstLine="539" w:end="34"/>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8. Презентацию проекта, в котором должны быть кратко и наглядно изложены положения бизнес-плана.</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Заявитель вправе подать только одну заявку на участие в конкурсе в отношении каждого предмета конкурса (лота). </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Прием заявок осуществляется в течение 20 календарных дней со дня размещения извещения о проведении конкурсного отбора на официальном сайте Правительства Республики Бурятия и на сайте Управляющей компании Промышленного парка по адресу: 670034, г. Улан-Удэ, ул. Красноармейская, 35, кабинет № 310. Проезд до остановки «Элеватор»: маршрутное такси № 37, 97, 95, 55, 3, трамвай № 1, 2, 4, 7, 8.</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График приема конкурсных заявок:</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понедельник - четверг с 9:00 до 17:00;</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пятница с 9:00 до 16:00;</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перерыв на обед с 12:30 до 13:30;</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суббота, воскресенье – не приёмные дни. </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Телефоны для справок по условиям проведения конкурса, осмотра имущества и по приему заявок: (3012) 44-04-54, e-mail: </w:t>
      </w:r>
      <w:hyperlink r:id="rId2">
        <w:r>
          <w:rPr>
            <w:rStyle w:val="Hyperlink"/>
            <w:rFonts w:eastAsia="Times New Roman" w:cs="Times New Roman" w:ascii="Times New Roman" w:hAnsi="Times New Roman"/>
            <w:sz w:val="24"/>
            <w:szCs w:val="24"/>
            <w:lang w:eastAsia="ru-RU"/>
          </w:rPr>
          <w:t>promparkrb@mail.</w:t>
        </w:r>
        <w:r>
          <w:rPr>
            <w:rStyle w:val="Hyperlink"/>
            <w:rFonts w:eastAsia="Times New Roman" w:cs="Times New Roman" w:ascii="Times New Roman" w:hAnsi="Times New Roman"/>
            <w:sz w:val="24"/>
            <w:szCs w:val="24"/>
            <w:lang w:val="en-US" w:eastAsia="ru-RU"/>
          </w:rPr>
          <w:t>ru</w:t>
        </w:r>
      </w:hyperlink>
      <w:r>
        <w:rPr>
          <w:rFonts w:eastAsia="Times New Roman" w:cs="Times New Roman" w:ascii="Times New Roman" w:hAnsi="Times New Roman"/>
          <w:color w:val="000000"/>
          <w:sz w:val="24"/>
          <w:szCs w:val="24"/>
          <w:lang w:eastAsia="ru-RU"/>
        </w:rPr>
        <w:t>.</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Технические планы лотов размещены на сайте Управляющей компании Промышленного парка </w:t>
      </w:r>
      <w:hyperlink r:id="rId3">
        <w:r>
          <w:rPr>
            <w:rStyle w:val="Hyperlink"/>
            <w:rFonts w:eastAsia="Times New Roman" w:cs="Times New Roman" w:ascii="Times New Roman" w:hAnsi="Times New Roman"/>
            <w:sz w:val="24"/>
            <w:szCs w:val="24"/>
            <w:lang w:val="en-US" w:eastAsia="ru-RU"/>
          </w:rPr>
          <w:t>www</w:t>
        </w:r>
        <w:r>
          <w:rPr>
            <w:rStyle w:val="Hyperlink"/>
            <w:rFonts w:eastAsia="Times New Roman" w:cs="Times New Roman" w:ascii="Times New Roman" w:hAnsi="Times New Roman"/>
            <w:sz w:val="24"/>
            <w:szCs w:val="24"/>
            <w:lang w:eastAsia="ru-RU"/>
          </w:rPr>
          <w:t>.</w:t>
        </w:r>
        <w:r>
          <w:rPr>
            <w:rStyle w:val="Hyperlink"/>
            <w:rFonts w:eastAsia="Times New Roman" w:cs="Times New Roman" w:ascii="Times New Roman" w:hAnsi="Times New Roman"/>
            <w:sz w:val="24"/>
            <w:szCs w:val="24"/>
            <w:lang w:val="en-US" w:eastAsia="ru-RU"/>
          </w:rPr>
          <w:t>p</w:t>
        </w:r>
        <w:r>
          <w:rPr>
            <w:rStyle w:val="Hyperlink"/>
            <w:rFonts w:eastAsia="Times New Roman" w:cs="Times New Roman" w:ascii="Times New Roman" w:hAnsi="Times New Roman"/>
            <w:sz w:val="24"/>
            <w:szCs w:val="24"/>
            <w:lang w:eastAsia="ru-RU"/>
          </w:rPr>
          <w:t>romparkrb.</w:t>
        </w:r>
        <w:r>
          <w:rPr>
            <w:rStyle w:val="Hyperlink"/>
            <w:rFonts w:eastAsia="Times New Roman" w:cs="Times New Roman" w:ascii="Times New Roman" w:hAnsi="Times New Roman"/>
            <w:sz w:val="24"/>
            <w:szCs w:val="24"/>
            <w:lang w:val="en-US" w:eastAsia="ru-RU"/>
          </w:rPr>
          <w:t>com</w:t>
        </w:r>
      </w:hyperlink>
      <w:r>
        <w:rPr>
          <w:rFonts w:eastAsia="Times New Roman" w:cs="Times New Roman" w:ascii="Times New Roman" w:hAnsi="Times New Roman"/>
          <w:color w:val="000000"/>
          <w:sz w:val="24"/>
          <w:szCs w:val="24"/>
          <w:lang w:eastAsia="ru-RU"/>
        </w:rPr>
        <w:t>.</w:t>
      </w:r>
    </w:p>
    <w:p>
      <w:pPr>
        <w:pStyle w:val="Normal"/>
        <w:spacing w:lineRule="auto" w:line="240" w:before="0" w:after="0"/>
        <w:ind w:firstLine="567"/>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sectPr>
      <w:type w:val="nextPage"/>
      <w:pgSz w:w="11906" w:h="16838"/>
      <w:pgMar w:left="1134" w:right="567" w:gutter="0" w:header="0" w:top="851"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Segoe UI">
    <w:charset w:val="cc" w:characterSet="windows-1251"/>
    <w:family w:val="swiss"/>
    <w:pitch w:val="variable"/>
  </w:font>
  <w:font w:name="Liberation Sans">
    <w:altName w:val="Arial"/>
    <w:charset w:val="cc" w:characterSet="windows-1251"/>
    <w:family w:val="swiss"/>
    <w:pitch w:val="variable"/>
  </w:font>
  <w:font w:name="Calibri">
    <w:charset w:val="cc" w:characterSet="windows-1251"/>
    <w:family w:val="swiss"/>
    <w:pitch w:val="variable"/>
  </w:font>
  <w:font w:name="Times New Roman">
    <w:charset w:val="cc" w:characterSet="windows-1251"/>
    <w:family w:val="roman"/>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124c4"/>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9b557d"/>
    <w:rPr>
      <w:rFonts w:ascii="Segoe UI" w:hAnsi="Segoe UI" w:cs="Segoe UI"/>
      <w:sz w:val="18"/>
      <w:szCs w:val="18"/>
    </w:rPr>
  </w:style>
  <w:style w:type="character" w:styleId="Strong">
    <w:name w:val="Strong"/>
    <w:basedOn w:val="DefaultParagraphFont"/>
    <w:uiPriority w:val="22"/>
    <w:qFormat/>
    <w:rsid w:val="00df4cdb"/>
    <w:rPr>
      <w:b/>
      <w:bCs/>
    </w:rPr>
  </w:style>
  <w:style w:type="character" w:styleId="Hyperlink">
    <w:name w:val="Hyperlink"/>
    <w:basedOn w:val="DefaultParagraphFont"/>
    <w:uiPriority w:val="99"/>
    <w:unhideWhenUsed/>
    <w:rsid w:val="00695443"/>
    <w:rPr>
      <w:color w:themeColor="hyperlink" w:val="0000FF"/>
      <w:u w:val="single"/>
    </w:rPr>
  </w:style>
  <w:style w:type="character" w:styleId="1" w:customStyle="1">
    <w:name w:val="Неразрешенное упоминание1"/>
    <w:basedOn w:val="DefaultParagraphFont"/>
    <w:uiPriority w:val="99"/>
    <w:semiHidden/>
    <w:unhideWhenUsed/>
    <w:qFormat/>
    <w:rsid w:val="00695443"/>
    <w:rPr>
      <w:color w:val="605E5C"/>
      <w:shd w:fill="E1DFDD" w:val="clear"/>
    </w:rPr>
  </w:style>
  <w:style w:type="character" w:styleId="UnresolvedMention">
    <w:name w:val="Unresolved Mention"/>
    <w:basedOn w:val="DefaultParagraphFont"/>
    <w:uiPriority w:val="99"/>
    <w:semiHidden/>
    <w:unhideWhenUsed/>
    <w:qFormat/>
    <w:rsid w:val="00557901"/>
    <w:rPr>
      <w:color w:val="605E5C"/>
      <w:shd w:fill="E1DFDD" w:val="clear"/>
    </w:rPr>
  </w:style>
  <w:style w:type="paragraph" w:styleId="Style15">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6">
    <w:name w:val="Указатель"/>
    <w:basedOn w:val="Normal"/>
    <w:qFormat/>
    <w:pPr>
      <w:suppressLineNumbers/>
    </w:pPr>
    <w:rPr>
      <w:rFonts w:cs="Arial"/>
    </w:rPr>
  </w:style>
  <w:style w:type="paragraph" w:styleId="BalloonText">
    <w:name w:val="Balloon Text"/>
    <w:basedOn w:val="Normal"/>
    <w:link w:val="Style14"/>
    <w:uiPriority w:val="99"/>
    <w:semiHidden/>
    <w:unhideWhenUsed/>
    <w:qFormat/>
    <w:rsid w:val="009b557d"/>
    <w:pPr>
      <w:spacing w:lineRule="auto" w:line="240" w:before="0" w:after="0"/>
    </w:pPr>
    <w:rPr>
      <w:rFonts w:ascii="Segoe UI" w:hAnsi="Segoe UI" w:cs="Segoe UI"/>
      <w:sz w:val="18"/>
      <w:szCs w:val="18"/>
    </w:rPr>
  </w:style>
  <w:style w:type="paragraph" w:styleId="NoSpacing">
    <w:name w:val="No Spacing"/>
    <w:uiPriority w:val="99"/>
    <w:qFormat/>
    <w:rsid w:val="00bc35b8"/>
    <w:pPr>
      <w:widowControl/>
      <w:bidi w:val="0"/>
      <w:spacing w:lineRule="auto" w:line="240" w:before="0" w:after="0"/>
      <w:jc w:val="start"/>
    </w:pPr>
    <w:rPr>
      <w:rFonts w:ascii="Calibri" w:hAnsi="Calibri" w:eastAsia="Calibri" w:cs="Times New Roman" w:asciiTheme="minorHAnsi" w:eastAsiaTheme="minorHAnsi" w:hAnsiTheme="minorHAnsi"/>
      <w:color w:val="auto"/>
      <w:kern w:val="0"/>
      <w:sz w:val="22"/>
      <w:szCs w:val="22"/>
      <w:lang w:val="ru-RU" w:eastAsia="en-US" w:bidi="ar-SA"/>
    </w:rPr>
  </w:style>
  <w:style w:type="numbering" w:styleId="Style17"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romparkrb@mail.ru" TargetMode="External"/><Relationship Id="rId3" Type="http://schemas.openxmlformats.org/officeDocument/2006/relationships/hyperlink" Target="http://www.promparkrb.com/"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28</TotalTime>
  <Application>LibreOffice/26.2.5.2$Windows_X86_64 LibreOffice_project/cd7284b4cbbfeb507e630c1aac019f4157393acb</Application>
  <AppVersion>15.0000</AppVersion>
  <Pages>3</Pages>
  <Words>1192</Words>
  <Characters>7970</Characters>
  <CharactersWithSpaces>9088</CharactersWithSpaces>
  <Paragraphs>108</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2026-06-03T05:58:00Z</dcterms:created>
  <dc:creator>Administrator</dc:creator>
  <dc:description/>
  <dc:language>ru-RU</dc:language>
  <cp:lastModifiedBy/>
  <cp:lastPrinted>2024-03-19T03:21:00Z</cp:lastPrinted>
  <dcterms:modified xsi:type="dcterms:W3CDTF">2026-08-10T11:53:02Z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